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10101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101010"/>
          <w:spacing w:val="0"/>
          <w:sz w:val="21"/>
          <w:szCs w:val="21"/>
          <w:shd w:val="clear" w:fill="FFFFFF"/>
        </w:rPr>
        <w:t>吉林省社会科学基金</w:t>
      </w:r>
      <w:r>
        <w:rPr>
          <w:rStyle w:val="4"/>
          <w:rFonts w:hint="eastAsia" w:ascii="宋体" w:hAnsi="宋体" w:eastAsia="宋体" w:cs="宋体"/>
          <w:b/>
          <w:bCs/>
          <w:i w:val="0"/>
          <w:caps w:val="0"/>
          <w:color w:val="101010"/>
          <w:spacing w:val="0"/>
          <w:sz w:val="21"/>
          <w:szCs w:val="21"/>
          <w:shd w:val="clear" w:fill="FFFFFF"/>
        </w:rPr>
        <w:t>“网络文化研究”2018年度专项课题指南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一、重点项目部分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1.习近平新时代网络文化思想研究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2.社会主义核心价值观与网络传播研究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3.互联网内容建设研究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4.网络文化时代廉政文化建设研究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5.2018年吉林省网络文化发展研究报告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二、一般项目部分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1.2017年吉林省网络文化发展白皮书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2.吉林特色的网络文化研究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3.吉林省网络教育发展研究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4.东北亚网络文化的国际交流研究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5.网络文化与边疆民族文化融合研究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6.东北直播网红文化发展研究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7.网络空间安全学科建设研究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8.网络文化新兴交叉学科建设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9.互联网文化的传播与治理研究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10.中医药文化网络传播与发展研究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11.网络安全教育体系构建研究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12.中外网络文化发展比较研究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13.吉林省网络文化数据交易平台建设研究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14.吉林省青少年网络文化生活状况研究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15.网络文化语境下“东北文化”发展研究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16.吉林省互联网文化产业发展现状研究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17.网络文化小镇建设研究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18.吉林省网络文化产业国际化发展研究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19.吉林省网络文化产业投融资问题与对策研究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21"/>
          <w:szCs w:val="21"/>
          <w:shd w:val="clear" w:fill="FFFFFF"/>
        </w:rPr>
        <w:t>20.网络文化背景下政府服务创新研究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101CA"/>
    <w:rsid w:val="32C10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2018-01-11T01:08:00Z</dcterms:created>
  <dc:creator>Administrator</dc:creator>
  <cp:lastModifiedBy>Administrator</cp:lastModifiedBy>
  <dcterms:modified xsi:type="dcterms:W3CDTF">2018-01-11T01:08:47Z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