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020" w:rsidRDefault="00A50020" w:rsidP="00A50020">
      <w:pPr>
        <w:spacing w:line="520" w:lineRule="exact"/>
        <w:jc w:val="center"/>
        <w:textAlignment w:val="baseline"/>
        <w:rPr>
          <w:rFonts w:ascii="华文中宋" w:eastAsia="华文中宋" w:hAnsi="华文中宋"/>
          <w:b/>
          <w:spacing w:val="-4"/>
          <w:sz w:val="36"/>
        </w:rPr>
      </w:pPr>
    </w:p>
    <w:p w:rsidR="00A50020" w:rsidRDefault="00A50020" w:rsidP="00A50020">
      <w:pPr>
        <w:spacing w:line="520" w:lineRule="exact"/>
        <w:jc w:val="center"/>
        <w:textAlignment w:val="baseline"/>
        <w:rPr>
          <w:rFonts w:ascii="华文中宋" w:eastAsia="华文中宋" w:hAnsi="华文中宋"/>
          <w:b/>
          <w:spacing w:val="-4"/>
          <w:sz w:val="36"/>
        </w:rPr>
      </w:pPr>
    </w:p>
    <w:p w:rsidR="00A50020" w:rsidRPr="000C0C2D" w:rsidRDefault="00A50020" w:rsidP="00A50020">
      <w:pPr>
        <w:spacing w:line="520" w:lineRule="exact"/>
        <w:jc w:val="center"/>
        <w:textAlignment w:val="baseline"/>
        <w:rPr>
          <w:rFonts w:ascii="黑体" w:eastAsia="黑体" w:hAnsi="华文中宋"/>
          <w:spacing w:val="-4"/>
          <w:sz w:val="36"/>
        </w:rPr>
      </w:pPr>
      <w:r w:rsidRPr="000C0C2D">
        <w:rPr>
          <w:rFonts w:ascii="黑体" w:eastAsia="黑体" w:hAnsi="华文中宋" w:hint="eastAsia"/>
          <w:spacing w:val="-4"/>
          <w:sz w:val="36"/>
        </w:rPr>
        <w:t>最高人民法院</w:t>
      </w:r>
      <w:r w:rsidR="000C0C2D" w:rsidRPr="000C0C2D">
        <w:rPr>
          <w:rFonts w:ascii="黑体" w:eastAsia="黑体" w:hAnsi="华文中宋" w:hint="eastAsia"/>
          <w:spacing w:val="-4"/>
          <w:sz w:val="36"/>
        </w:rPr>
        <w:t>2016年度司法研究</w:t>
      </w:r>
      <w:r w:rsidRPr="000C0C2D">
        <w:rPr>
          <w:rFonts w:ascii="黑体" w:eastAsia="黑体" w:hAnsi="华文中宋" w:hint="eastAsia"/>
          <w:spacing w:val="-4"/>
          <w:sz w:val="36"/>
        </w:rPr>
        <w:t>重大课题题目</w:t>
      </w:r>
    </w:p>
    <w:p w:rsidR="006938B1" w:rsidRDefault="006938B1"/>
    <w:p w:rsidR="000C0C2D" w:rsidRDefault="000C0C2D"/>
    <w:p w:rsidR="000C0C2D" w:rsidRPr="001F377A" w:rsidRDefault="000C0C2D" w:rsidP="000C0C2D">
      <w:pPr>
        <w:jc w:val="center"/>
        <w:rPr>
          <w:rFonts w:ascii="仿宋_GB2312" w:eastAsia="仿宋_GB2312"/>
          <w:sz w:val="30"/>
          <w:szCs w:val="30"/>
        </w:rPr>
      </w:pPr>
      <w:r w:rsidRPr="001F377A">
        <w:rPr>
          <w:rFonts w:ascii="黑体" w:eastAsia="黑体" w:hint="eastAsia"/>
          <w:sz w:val="30"/>
          <w:szCs w:val="30"/>
        </w:rPr>
        <w:t>司法政策类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京津冀协同发展的司法服务与保障问题研究</w:t>
      </w:r>
    </w:p>
    <w:p w:rsidR="000C0C2D" w:rsidRPr="001F377A" w:rsidRDefault="000C0C2D" w:rsidP="000C0C2D">
      <w:pPr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 xml:space="preserve">    2.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我国海洋维权司法对策研究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3.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供给侧改革背景下相关司法对策研究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4.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中国知识产权司法保护战略研究</w:t>
      </w:r>
    </w:p>
    <w:p w:rsidR="000C0C2D" w:rsidRPr="001F377A" w:rsidRDefault="00B3322B" w:rsidP="001F37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5.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="000C0C2D" w:rsidRPr="001F377A">
        <w:rPr>
          <w:rFonts w:ascii="仿宋_GB2312" w:eastAsia="仿宋_GB2312" w:cs="仿宋_GB2312" w:hint="eastAsia"/>
          <w:sz w:val="30"/>
          <w:szCs w:val="30"/>
        </w:rPr>
        <w:t>人民法院接受人大监督理论与实践问题研究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</w:p>
    <w:p w:rsidR="000C0C2D" w:rsidRPr="001F377A" w:rsidRDefault="000C0C2D" w:rsidP="000C0C2D">
      <w:pPr>
        <w:jc w:val="center"/>
        <w:rPr>
          <w:rFonts w:ascii="黑体" w:eastAsia="黑体"/>
          <w:sz w:val="30"/>
          <w:szCs w:val="30"/>
        </w:rPr>
      </w:pPr>
      <w:r w:rsidRPr="001F377A">
        <w:rPr>
          <w:rFonts w:ascii="黑体" w:eastAsia="黑体" w:hint="eastAsia"/>
          <w:sz w:val="30"/>
          <w:szCs w:val="30"/>
        </w:rPr>
        <w:t>司法制度类</w:t>
      </w:r>
    </w:p>
    <w:p w:rsidR="000C0C2D" w:rsidRPr="001F377A" w:rsidRDefault="0064354C" w:rsidP="001F37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 xml:space="preserve">6. </w:t>
      </w:r>
      <w:r w:rsidR="000C0C2D" w:rsidRPr="001F377A">
        <w:rPr>
          <w:rFonts w:ascii="仿宋_GB2312" w:eastAsia="仿宋_GB2312" w:cs="仿宋_GB2312" w:hint="eastAsia"/>
          <w:sz w:val="30"/>
          <w:szCs w:val="30"/>
        </w:rPr>
        <w:t>法院制度的发展轨迹与未来方向</w:t>
      </w:r>
      <w:r w:rsidR="000C0C2D" w:rsidRPr="001F377A">
        <w:rPr>
          <w:rFonts w:ascii="仿宋_GB2312" w:eastAsia="仿宋_GB2312"/>
          <w:sz w:val="30"/>
          <w:szCs w:val="30"/>
        </w:rPr>
        <w:t>——</w:t>
      </w:r>
      <w:r w:rsidR="000C0C2D" w:rsidRPr="001F377A">
        <w:rPr>
          <w:rFonts w:ascii="仿宋_GB2312" w:eastAsia="仿宋_GB2312" w:cs="仿宋_GB2312" w:hint="eastAsia"/>
          <w:sz w:val="30"/>
          <w:szCs w:val="30"/>
        </w:rPr>
        <w:t>从人民法院近七十年历史的角度分析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7.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省级统管改革背景下人民法院的管理体制研究</w:t>
      </w:r>
    </w:p>
    <w:p w:rsidR="000C0C2D" w:rsidRPr="001F377A" w:rsidRDefault="000C0C2D" w:rsidP="001F377A">
      <w:pPr>
        <w:ind w:firstLineChars="200" w:firstLine="600"/>
        <w:rPr>
          <w:rFonts w:ascii="黑体" w:eastAsia="黑体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8.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人民法院审判组织运行机制研究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9.</w:t>
      </w:r>
      <w:r w:rsidR="0064354C" w:rsidRPr="001F377A">
        <w:rPr>
          <w:rFonts w:ascii="仿宋_GB2312" w:eastAsia="仿宋_GB2312" w:cs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法官会议制度与统一法律适用关系研究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10.</w:t>
      </w:r>
      <w:r w:rsidRPr="001F377A">
        <w:rPr>
          <w:rFonts w:ascii="仿宋_GB2312" w:eastAsia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立案登记制改革背景下诉讼服务中心建设的研究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11. 审判权与法院司法行政事务管理权的关系研究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12. 完善最高人民法院巡回法庭体制和工作机制研究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13.</w:t>
      </w:r>
      <w:r w:rsidRPr="001F377A">
        <w:rPr>
          <w:rFonts w:ascii="仿宋_GB2312" w:eastAsia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人民法院内设机构改革研究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14.</w:t>
      </w:r>
      <w:r w:rsidRPr="001F377A">
        <w:rPr>
          <w:rFonts w:ascii="仿宋_GB2312" w:eastAsia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法官培养机制问题研究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15.</w:t>
      </w:r>
      <w:r w:rsidRPr="001F377A">
        <w:rPr>
          <w:rFonts w:ascii="仿宋_GB2312" w:eastAsia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法官惩戒委员会与法院纪检监察制度的衔接研究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lastRenderedPageBreak/>
        <w:t>16. 建设智慧型法院问题研究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</w:p>
    <w:p w:rsidR="000C0C2D" w:rsidRPr="001F377A" w:rsidRDefault="000C0C2D" w:rsidP="000C0C2D">
      <w:pPr>
        <w:jc w:val="center"/>
        <w:rPr>
          <w:rFonts w:ascii="黑体" w:eastAsia="黑体"/>
          <w:sz w:val="30"/>
          <w:szCs w:val="30"/>
        </w:rPr>
      </w:pPr>
      <w:r w:rsidRPr="001F377A">
        <w:rPr>
          <w:rFonts w:ascii="黑体" w:eastAsia="黑体" w:hint="eastAsia"/>
          <w:sz w:val="30"/>
          <w:szCs w:val="30"/>
        </w:rPr>
        <w:t>司法实务类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17. 诉调对接问题研究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18.</w:t>
      </w:r>
      <w:r w:rsidRPr="001F377A">
        <w:rPr>
          <w:rFonts w:ascii="仿宋_GB2312" w:eastAsia="仿宋_GB2312" w:hint="eastAsia"/>
          <w:sz w:val="30"/>
          <w:szCs w:val="30"/>
        </w:rPr>
        <w:t xml:space="preserve"> </w:t>
      </w:r>
      <w:r w:rsidRPr="001F377A">
        <w:rPr>
          <w:rFonts w:ascii="仿宋_GB2312" w:eastAsia="仿宋_GB2312" w:cs="仿宋_GB2312" w:hint="eastAsia"/>
          <w:sz w:val="30"/>
          <w:szCs w:val="30"/>
        </w:rPr>
        <w:t>跨行政区划法院案件管辖制度研究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19. 滥用诉权问题的规制研究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20. 刑事庭审实质化问题研究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21. 刑事申诉案件诉讼化改造问题研究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22. 司法解释和案例指导理论与实务问题研究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23. 网络信息保护与网络犯罪问题研究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24. 行政协议案件审理中的疑难问题研究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25. “僵尸企业”破产法律问题研究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26. 金融创新审判实务问题研究</w:t>
      </w:r>
    </w:p>
    <w:p w:rsidR="000C0C2D" w:rsidRPr="001F377A" w:rsidRDefault="000C0C2D" w:rsidP="001F377A">
      <w:pPr>
        <w:ind w:firstLineChars="200" w:firstLine="600"/>
        <w:rPr>
          <w:rFonts w:ascii="仿宋_GB2312" w:eastAsia="仿宋_GB2312"/>
          <w:sz w:val="30"/>
          <w:szCs w:val="30"/>
        </w:rPr>
      </w:pPr>
      <w:r w:rsidRPr="001F377A">
        <w:rPr>
          <w:rFonts w:ascii="仿宋_GB2312" w:eastAsia="仿宋_GB2312" w:cs="仿宋_GB2312" w:hint="eastAsia"/>
          <w:sz w:val="30"/>
          <w:szCs w:val="30"/>
        </w:rPr>
        <w:t>27. 电子商务信用体系构建的司法问题研究</w:t>
      </w:r>
    </w:p>
    <w:p w:rsidR="000C0C2D" w:rsidRPr="000C0C2D" w:rsidRDefault="000C0C2D"/>
    <w:sectPr w:rsidR="000C0C2D" w:rsidRPr="000C0C2D" w:rsidSect="00963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AA" w:rsidRDefault="00192CAA" w:rsidP="00A50020">
      <w:r>
        <w:separator/>
      </w:r>
    </w:p>
  </w:endnote>
  <w:endnote w:type="continuationSeparator" w:id="1">
    <w:p w:rsidR="00192CAA" w:rsidRDefault="00192CAA" w:rsidP="00A500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AA" w:rsidRDefault="00192CAA" w:rsidP="00A50020">
      <w:r>
        <w:separator/>
      </w:r>
    </w:p>
  </w:footnote>
  <w:footnote w:type="continuationSeparator" w:id="1">
    <w:p w:rsidR="00192CAA" w:rsidRDefault="00192CAA" w:rsidP="00A500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020"/>
    <w:rsid w:val="000C0C2D"/>
    <w:rsid w:val="00192CAA"/>
    <w:rsid w:val="001C0F7F"/>
    <w:rsid w:val="001E7F33"/>
    <w:rsid w:val="001F377A"/>
    <w:rsid w:val="002D3308"/>
    <w:rsid w:val="0064354C"/>
    <w:rsid w:val="006938B1"/>
    <w:rsid w:val="00780ACE"/>
    <w:rsid w:val="00963417"/>
    <w:rsid w:val="00A3682F"/>
    <w:rsid w:val="00A50020"/>
    <w:rsid w:val="00B24ADA"/>
    <w:rsid w:val="00B3322B"/>
    <w:rsid w:val="00E13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02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500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500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500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500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90</Words>
  <Characters>519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孙争鸣,nu</dc:creator>
  <cp:keywords/>
  <dc:description/>
  <cp:lastModifiedBy>江显和</cp:lastModifiedBy>
  <cp:revision>8</cp:revision>
  <dcterms:created xsi:type="dcterms:W3CDTF">2016-06-29T01:55:00Z</dcterms:created>
  <dcterms:modified xsi:type="dcterms:W3CDTF">2016-07-04T02:17:00Z</dcterms:modified>
</cp:coreProperties>
</file>