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700"/>
        <w:gridCol w:w="1660"/>
        <w:gridCol w:w="1120"/>
        <w:gridCol w:w="4120"/>
        <w:gridCol w:w="1080"/>
      </w:tblGrid>
      <w:tr w:rsidR="00C51820" w:rsidRPr="00C51820" w:rsidTr="00C51820">
        <w:trPr>
          <w:trHeight w:val="690"/>
        </w:trPr>
        <w:tc>
          <w:tcPr>
            <w:tcW w:w="8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5182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吉林大学哲学社会科学研究优秀成果奖一等奖汇总表</w:t>
            </w:r>
          </w:p>
        </w:tc>
      </w:tr>
      <w:tr w:rsidR="00C51820" w:rsidRPr="00C51820" w:rsidTr="00C51820">
        <w:trPr>
          <w:trHeight w:val="6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bookmarkStart w:id="0" w:name="RANGE!A2:E33"/>
            <w:r w:rsidRPr="00C51820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C51820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C51820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申报人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C51820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成果名称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葛鲁嘉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 xml:space="preserve">心理学形态研究系列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贺来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“关系理性”与真实“共同体”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孙利天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现代性的追求和内在超越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孙正聿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哲学：思想的前提批判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田毅鹏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“单位共同体”的变迁与城市社区重建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程妮娜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古代东北民族朝贡制度史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孔朝蓬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光影变幻——影视文化传播现象研究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刘中树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辜鸿铭与中国近现代思想文化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徐正考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汉代文字编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杨建华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欧亚草原东部的金属之路：丝绸之路与匈奴联盟的孕育过程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张福贵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文学史的命名与文学史观的反思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赵宾福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东北考古学研究（一）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张玫玫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我写故我在：后现代语境下的女性主义书写理论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公共外语教育学院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张凤娟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1820">
              <w:rPr>
                <w:rFonts w:ascii="Times New Roman" w:eastAsia="宋体" w:hAnsi="Times New Roman" w:cs="Times New Roman"/>
                <w:kern w:val="0"/>
                <w:sz w:val="22"/>
              </w:rPr>
              <w:t>A Study of Secondary School English Teachers' Beliefs in the Context of Curriculum Reform in China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刘忠民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教师健康解码—给教师的运动建议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杜莉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低碳经济时代的</w:t>
            </w: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碳金融</w:t>
            </w:r>
            <w:proofErr w:type="gramEnd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机制与制度研究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李晓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“一带一路”与中国地缘政治经济战略的重构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蔡立东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承包权与经营权分置的法构造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霍海红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提高民事诉讼证明标准的理论反思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刘清才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中国东北亚战略与政策研究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刘雪莲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国家治理的全球治理意义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张贤明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低成本利益表达机制的构建之道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周光辉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领土认同：国家认同的基础——构建一种更完备的国家认同理论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陈守东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系统性金融风险与宏观审慎监管研究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刘金全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中央银行规避经济收缩和通胀偏好的模式与途径研究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宋玉臣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市场有效周期理论的构建、实证及应用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韩喜平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“四个全面”战略布局与中国现代化探索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钱智勇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市场对资源配置的决定作用与政府的经济作用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东北亚研究院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王胜今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关于把握当前中日关系与对日外交政策的若干建议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7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张国权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51820">
              <w:rPr>
                <w:rFonts w:ascii="Times New Roman" w:eastAsia="宋体" w:hAnsi="Times New Roman" w:cs="Times New Roman"/>
                <w:kern w:val="0"/>
                <w:sz w:val="22"/>
              </w:rPr>
              <w:t>Optimal Pricing for Group Buying with Network Effects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生物与农业工程学院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C51820">
              <w:rPr>
                <w:rFonts w:ascii="宋体" w:eastAsia="宋体" w:hAnsi="宋体" w:cs="宋体" w:hint="eastAsia"/>
                <w:kern w:val="0"/>
                <w:sz w:val="22"/>
              </w:rPr>
              <w:t>杨印生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5182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Carbon Footprint Analysis for Mechanization of Maize Production Based on Life Cycle Assessment: A Case Study in Jilin Province, China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18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51820" w:rsidRPr="00C51820" w:rsidTr="00C51820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1820" w:rsidRPr="00C51820" w:rsidTr="00C51820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820" w:rsidRPr="00C51820" w:rsidRDefault="00C51820" w:rsidP="00C5182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820" w:rsidRPr="00C51820" w:rsidRDefault="00C51820" w:rsidP="00C518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B2325" w:rsidRDefault="001E5185"/>
    <w:sectPr w:rsidR="008B2325" w:rsidSect="0020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85" w:rsidRDefault="001E5185" w:rsidP="00C51820">
      <w:r>
        <w:separator/>
      </w:r>
    </w:p>
  </w:endnote>
  <w:endnote w:type="continuationSeparator" w:id="0">
    <w:p w:rsidR="001E5185" w:rsidRDefault="001E5185" w:rsidP="00C5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85" w:rsidRDefault="001E5185" w:rsidP="00C51820">
      <w:r>
        <w:separator/>
      </w:r>
    </w:p>
  </w:footnote>
  <w:footnote w:type="continuationSeparator" w:id="0">
    <w:p w:rsidR="001E5185" w:rsidRDefault="001E5185" w:rsidP="00C51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820"/>
    <w:rsid w:val="001E5185"/>
    <w:rsid w:val="00201340"/>
    <w:rsid w:val="008A09BF"/>
    <w:rsid w:val="00C51820"/>
    <w:rsid w:val="00FB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>China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2018-04-25T02:20:00Z</dcterms:created>
  <dcterms:modified xsi:type="dcterms:W3CDTF">2018-04-25T02:21:00Z</dcterms:modified>
</cp:coreProperties>
</file>